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Contoh perjanjian sewa bilik</w:t>
      </w:r>
    </w:p>
    <w:p>
      <w:pPr/>
      <w:r>
        <w:t>Templat rujukan untuk sewaan bilik kediaman. Lengkapkan butiran bilik, kemudahan bersama dan tanggungjawab setiap pihak sebelum menandatangani.</w:t>
      </w:r>
    </w:p>
    <w:p>
      <w:pPr/>
      <w:r>
        <w:t>Semak kuasa pemberi sewa, kebenaran penggunaan bilik dan aturan sebenar. Templat ini tidak mengesahkan kelulusan pengubahsuaian atau kesesuaian undang-undang.</w:t>
      </w:r>
    </w:p>
    <w:p>
      <w:pPr>
        <w:pStyle w:val="Heading1"/>
      </w:pPr>
      <w:r>
        <w:t>1 Pihak dan ruang sewaan</w:t>
      </w:r>
    </w:p>
    <w:p>
      <w:pPr/>
      <w:r>
        <w:t>Tarikh: [tarikh]. Pemberi sewa: [nama, pengenalan, alamat, hubungan dan asas kuasa]. Penyewa: [nama, pengenalan, alamat dan hubungan].</w:t>
      </w:r>
    </w:p>
    <w:p>
      <w:pPr/>
      <w:r>
        <w:t>Alamat premis: [alamat]. Bilik: [pengenal bilik dan pelan]. Penghuni yang dibenarkan: [nama].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Ruang atau barang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Hak penggunaan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Syarat atau rujukan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Bilik tidur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[Ruang eksklusif]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[Inventori / pelan]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Bilik air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[Eksklusif / bersama]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[Aturan kebersihan]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Dapur dan dobi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[Kemudahan termasuk]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[Waktu / simpanan]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Ruang tamu dan parkir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[Termasuk / tidak termasuk]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[Syarat / petak]</w:t>
            </w:r>
          </w:p>
        </w:tc>
      </w:tr>
    </w:tbl>
    <w:p>
      <w:pPr>
        <w:spacing w:after="0"/>
      </w:pPr>
    </w:p>
    <w:p>
      <w:pPr>
        <w:pStyle w:val="Heading1"/>
      </w:pPr>
      <w:r>
        <w:t>2 Tempoh sewa dan bayaran</w:t>
      </w:r>
    </w:p>
    <w:p>
      <w:pPr/>
      <w:r>
        <w:t>Tempoh: [tarikh mula] hingga [tarikh tamat]. Sewa: RM [amaun] sebulan. Tarikh bayaran: [hari]. Akaun penerima: [butiran].</w:t>
      </w:r>
    </w:p>
    <w:p>
      <w:pPr/>
      <w:r>
        <w:t>Bulan tidak penuh: [kaedah pengiraan]. Pembaharuan memerlukan persetujuan bertulis tentang tempoh dan sewa baharu.</w:t>
      </w:r>
    </w:p>
    <w:p>
      <w:pPr>
        <w:pStyle w:val="Heading1"/>
      </w:pPr>
      <w:r>
        <w:t>3 Deposit</w:t>
      </w:r>
    </w:p>
    <w:p>
      <w:pPr/>
      <w:r>
        <w:t>Deposit keselamatan: RM [amaun]. Deposit utiliti: RM [amaun]. Sewa pendahuluan: RM [amaun] bagi [tempoh]. Resit: [rujukan].</w:t>
      </w:r>
    </w:p>
    <w:p>
      <w:pPr/>
      <w:r>
        <w:t>Proses penyata dan pemulangan deposit: [klausa, tempoh dan kaedah]. Bil akhir belum selesai: [prosedur dan tarikh semakan].</w:t>
      </w:r>
    </w:p>
    <w:p>
      <w:pPr/>
      <w:r>
        <w:t>Deposit tidak menggantikan sewa terakhir tanpa persetujuan bertulis. Potongan memerlukan asas yang sah dan rekod sokongan.</w:t>
      </w:r>
    </w:p>
    <w:p>
      <w:r>
        <w:br w:type="page"/>
      </w:r>
    </w:p>
    <w:p>
      <w:pPr>
        <w:pStyle w:val="Title"/>
      </w:pPr>
      <w:r>
        <w:t>Utiliti peraturan rumah dan akses</w:t>
      </w:r>
    </w:p>
    <w:p>
      <w:pPr>
        <w:pStyle w:val="Heading1"/>
      </w:pPr>
      <w:r>
        <w:t>4 Pembahagian utiliti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Bil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Kaedah dan asas pembahagian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Rekod dan tarikh bayaran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Elektrik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[Termasuk / meter / formula]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[Pemegang akaun / salinan bil]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Air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[Termasuk / meter / formula]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[Pemegang akaun / salinan bil]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Internet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[Termasuk / formula]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[Pemegang akaun / salinan bil]</w:t>
            </w:r>
          </w:p>
        </w:tc>
      </w:tr>
    </w:tbl>
    <w:p>
      <w:pPr>
        <w:spacing w:after="0"/>
      </w:pPr>
    </w:p>
    <w:p>
      <w:pPr/>
      <w:r>
        <w:t>Bahagian bil bagi bilik kosong: [pihak yang menanggung]. Bulan tidak penuh: [formula]. Kredit dan tunggakan terdahulu: [cara pengasingan].</w:t>
      </w:r>
    </w:p>
    <w:p>
      <w:pPr/>
      <w:r>
        <w:t>Pemberi sewa menyediakan salinan bil dan pengiraan pada [tarikh]. Penyewa membayar amaun yang dipersetujui pada [tarikh].</w:t>
      </w:r>
    </w:p>
    <w:p>
      <w:pPr>
        <w:pStyle w:val="Heading1"/>
      </w:pPr>
      <w:r>
        <w:t>Contoh andaian untuk perbandingan</w:t>
      </w:r>
    </w:p>
    <w:p>
      <w:pPr/>
      <w:r>
        <w:t>Andaikan tiga bahagian bilik dan jumlah bil RM300. Setiap bahagian ialah RM100. Andaikan pemberi sewa menanggung bahagian bilik kosong.</w:t>
      </w:r>
    </w:p>
    <w:p>
      <w:pPr/>
      <w:r>
        <w:t>Jika satu bilik kosong sepanjang tempoh bil, dua bilik berpenghuni membayar RM100 setiap satu. Pemberi sewa menanggung RM100.</w:t>
      </w:r>
    </w:p>
    <w:p>
      <w:pPr/>
      <w:r>
        <w:t>Contoh ini bukan tarif utiliti atau kebenaran menjual semula utiliti. Gunakan kaedah yang dipersetujui dan dibenarkan bagi premis sebenar.</w:t>
      </w:r>
    </w:p>
    <w:p>
      <w:pPr>
        <w:pStyle w:val="Heading1"/>
      </w:pPr>
      <w:r>
        <w:t>5 Peraturan rumah dan pembaikan</w:t>
      </w:r>
    </w:p>
    <w:p>
      <w:pPr/>
      <w:r>
        <w:t>Tetamu, waktu senyap, memasak, merokok, haiwan, sampah dan kebersihan bersama: [peraturan yang dilampirkan sebelum persetujuan].</w:t>
      </w:r>
    </w:p>
    <w:p>
      <w:pPr/>
      <w:r>
        <w:t>Penyewa melaporkan kerosakan dengan segera. Pembahagian pembaikan dan had kelulusan: [butiran]. Keadaan awal direkodkan dalam inventori.</w:t>
      </w:r>
    </w:p>
    <w:p>
      <w:pPr/>
      <w:r>
        <w:t>Tanggungjawab kerosakan ruang bersama memerlukan semakan punca, terma dan bukti. Jangan anggap semua penghuni bertanggungjawab secara automatik.</w:t>
      </w:r>
    </w:p>
    <w:p>
      <w:pPr>
        <w:pStyle w:val="Heading1"/>
      </w:pPr>
      <w:r>
        <w:t>6 Akses ke bilik</w:t>
      </w:r>
    </w:p>
    <w:p>
      <w:pPr/>
      <w:r>
        <w:t>Akses biasa memerlukan tujuan yang dinyatakan, notis [bilangan] jam dan janji temu yang dipersetujui. Aturan kecemasan: [butiran].</w:t>
      </w:r>
    </w:p>
    <w:p>
      <w:pPr/>
      <w:r>
        <w:t>Penyewa mematuhi peraturan bangunan yang terpakai dan dibekalkan kepadanya. Perjanjian ini tidak mengatasi kelulusan atau undang-undang yang diperlukan.</w:t>
      </w:r>
    </w:p>
    <w:p>
      <w:r>
        <w:br w:type="page"/>
      </w:r>
    </w:p>
    <w:p>
      <w:pPr>
        <w:pStyle w:val="Title"/>
      </w:pPr>
      <w:r>
        <w:t>Penamatan inventori dan persetujuan</w:t>
      </w:r>
    </w:p>
    <w:p>
      <w:pPr>
        <w:pStyle w:val="Heading1"/>
      </w:pPr>
      <w:r>
        <w:t>7 Penamatan dan notis</w:t>
      </w:r>
    </w:p>
    <w:p>
      <w:pPr/>
      <w:r>
        <w:t>Hak keluar awal, tempoh notis dan syarat: [butiran atau tiada hak keluar awal secara kontrak]. Kaedah notis dan bukti penerimaan: [butiran].</w:t>
      </w:r>
    </w:p>
    <w:p>
      <w:pPr/>
      <w:r>
        <w:t>Bagi pelanggaran yang boleh diperbetulkan, berikan notis bertulis serta tempoh pembetulan yang dipersetujui: [tempoh].</w:t>
      </w:r>
    </w:p>
    <w:p>
      <w:pPr/>
      <w:r>
        <w:t>Penyewa pengganti tidak membebaskan penyewa asal secara automatik. Rekod persetujuan pelepasan dan penyelesaian bayaran secara bertulis.</w:t>
      </w:r>
    </w:p>
    <w:p>
      <w:pPr/>
      <w:r>
        <w:t>Sebarang pampasan tertakluk kepada undang-undang dan perjanjian. Jangan gunakan pertukaran kunci atau pemotongan utiliti untuk mengambil semula milikan.</w:t>
      </w:r>
    </w:p>
    <w:p>
      <w:pPr>
        <w:pStyle w:val="Heading1"/>
      </w:pPr>
      <w:r>
        <w:t>8 Inventori dan penyerahan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Barang dan kuantiti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Keadaan awal / gambar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Keadaan akhir / gambar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[Barang / kuantiti]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[Barang / kuantiti]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[Barang / kuantiti]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</w:tr>
    </w:tbl>
    <w:p>
      <w:pPr>
        <w:spacing w:after="0"/>
      </w:pPr>
    </w:p>
    <w:p>
      <w:pPr/>
      <w:r>
        <w:t>Kunci dan kad: [bilangan diberi / dipulangkan]. Keadaan ruang bersama: [rekod / gambar]. Bil belum selesai: [butiran].</w:t>
      </w:r>
    </w:p>
    <w:p>
      <w:pPr>
        <w:pStyle w:val="Heading1"/>
      </w:pPr>
      <w:r>
        <w:t>9 Persetujuan akhir</w:t>
      </w:r>
    </w:p>
    <w:p>
      <w:pPr/>
      <w:r>
        <w:t>Undang-undang Malaysia terpakai, tertakluk kepada bidang kuasa yang berkenaan. Perubahan memerlukan persetujuan bertulis kedua-dua pihak.</w:t>
      </w:r>
    </w:p>
    <w:p>
      <w:pPr/>
      <w:r>
        <w:t>Kedua-dua pihak membaca perjanjian serta lampiran yang lengkap dan menerima satu salinan. Semak keperluan duti setem bagi surat cara sebenar.</w:t>
      </w:r>
    </w:p>
    <w:p>
      <w:pPr/>
      <w:r>
        <w:t>Pemberi sewa: ____________________. Nama: [nama]. Tarikh: [tarikh].</w:t>
      </w:r>
    </w:p>
    <w:p>
      <w:pPr/>
      <w:r>
        <w:t>Penyewa: ________________________. Nama: [nama]. Tarikh: [tarikh].</w:t>
      </w:r>
    </w:p>
    <w:p>
      <w:pPr/>
      <w:r>
        <w:t>Saksi: __________________________. Nama dan pengenalan: [butiran]. Tarikh: [tarikh].</w:t>
      </w:r>
    </w:p>
    <w:p>
      <w:pPr/>
      <w:r>
        <w:t>Panduan penyeteman: propcashflow.my/ms/blog/e-duti-setem-panduan-lhdn/</w:t>
      </w:r>
    </w:p>
    <w:sectPr w:rsidR="00FC693F" w:rsidRPr="0006063C" w:rsidSect="00034616">
      <w:footerReference w:type="default" r:id="rId9"/>
      <w:pgSz w:w="11909" w:h="16834"/>
      <w:pgMar w:top="1008" w:right="1238" w:bottom="1008" w:left="123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PropCashflow | propcashflow.my | 6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  <w:lang w:val="ms-MY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Contoh perjanjian sewa bilik</dc:title>
  <dc:subject/>
  <dc:creator>PropCashflow Team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  <dc:language>ms</dc:language>
</cp:coreProperties>
</file>