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Short term rental management comparison</w:t>
      </w:r>
    </w:p>
    <w:p>
      <w:pPr/>
      <w:r>
        <w:t>Compare two written quotations for the same property and service scope. Record each exclusion and confirm the total owner cost.</w:t>
      </w:r>
    </w:p>
    <w:p>
      <w:pPr/>
      <w:r>
        <w:t>Property: [address]. Quote A: [operator / date]. Quote B: [operator / date]. Comparison period: [month].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2952"/>
        <w:gridCol w:w="2952"/>
      </w:tblGrid>
      <w:tr>
        <w:trPr>
          <w:cantSplit/>
          <w:tblHeader/>
        </w:trPr>
        <w:tc>
          <w:tcPr>
            <w:tcW w:type="dxa" w:w="352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Service or fee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Quote A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Quote B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Guest support and hours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Prices and discounts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Guest access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Cleaning and linen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Repairs and approval limit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Refunds and approval limit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Deposit custody and records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Percentage fee and base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Fixed and minimum fees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Setup charge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Excluded costs and tax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Statement and payment dates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Term, renewal, and notice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Exit charges and transfer tasks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 / cost]</w:t>
            </w:r>
          </w:p>
        </w:tc>
      </w:tr>
    </w:tbl>
    <w:p>
      <w:pPr>
        <w:spacing w:after="0"/>
      </w:pPr>
    </w:p>
    <w:p>
      <w:pPr/>
      <w:r>
        <w:t>Open questions: [question, operator response, and date]. Request evidence for each service or performance claim.</w:t>
      </w:r>
    </w:p>
    <w:p>
      <w:r>
        <w:br w:type="page"/>
      </w:r>
    </w:p>
    <w:p>
      <w:pPr>
        <w:pStyle w:val="Title"/>
      </w:pPr>
      <w:r>
        <w:t>Owner statement and cost check</w:t>
      </w:r>
    </w:p>
    <w:p>
      <w:pPr/>
      <w:r>
        <w:t>Use the same assumptions for each quotation. Calculate the amounts manually. Keep refundable deposits and taxes collected for an authority separate.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552"/>
      </w:tblGrid>
      <w:tr>
        <w:trPr>
          <w:cantSplit/>
          <w:tblHeader/>
        </w:trPr>
        <w:tc>
          <w:tcPr>
            <w:tcW w:type="dxa" w:w="2880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Comparison input</w:t>
            </w:r>
          </w:p>
        </w:tc>
        <w:tc>
          <w:tcPr>
            <w:tcW w:type="dxa" w:w="65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Your assumption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Accommodation revenue after refunds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Occupied nights and guest stays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[Nights] / [stays]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Other earned guest charges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 and description]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Quoted fee base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[Exact definition]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Total management cost A / B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[A] / RM [B]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Excluded owner costs A / B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[A] / RM [B]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Total comparable cost A / B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[A] / RM [B]</w:t>
            </w:r>
          </w:p>
        </w:tc>
      </w:tr>
    </w:tbl>
    <w:p>
      <w:pPr>
        <w:spacing w:after="0"/>
      </w:pPr>
    </w:p>
    <w:p>
      <w:pPr>
        <w:pStyle w:val="Heading1"/>
      </w:pPr>
      <w:r>
        <w:t>Fictional fee example</w:t>
      </w:r>
    </w:p>
    <w:p>
      <w:pPr/>
      <w:r>
        <w:t>Quote A charges 18% of accommodation revenue. Quote B charges RM300 plus 12%. Both cover the same services and exclude other owner costs.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2952"/>
        <w:gridCol w:w="2952"/>
      </w:tblGrid>
      <w:tr>
        <w:trPr>
          <w:cantSplit/>
          <w:tblHeader/>
        </w:trPr>
        <w:tc>
          <w:tcPr>
            <w:tcW w:type="dxa" w:w="352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Revenue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Quote A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Quote B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RM3,000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RM540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RM660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RM6,000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RM1,080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RM1,020</w:t>
            </w:r>
          </w:p>
        </w:tc>
      </w:tr>
    </w:tbl>
    <w:p>
      <w:pPr>
        <w:spacing w:after="0"/>
      </w:pPr>
    </w:p>
    <w:p>
      <w:pPr>
        <w:pStyle w:val="Heading1"/>
      </w:pPr>
      <w:r>
        <w:t>Statement check</w:t>
      </w:r>
    </w:p>
    <w:p>
      <w:pPr/>
      <w:r>
        <w:t>1. Match the period, stays, revenue, and refunds.</w:t>
      </w:r>
    </w:p>
    <w:p>
      <w:pPr/>
      <w:r>
        <w:t>2. Recalculate fees from the agreed base.</w:t>
      </w:r>
    </w:p>
    <w:p>
      <w:pPr/>
      <w:r>
        <w:t>3. Match expenses to invoices and approvals.</w:t>
      </w:r>
    </w:p>
    <w:p>
      <w:pPr/>
      <w:r>
        <w:t>4. Reconcile the owner payment and record unpaid amounts.</w:t>
      </w:r>
    </w:p>
    <w:p>
      <w:pPr/>
      <w:r>
        <w:t>5. Confirm the transfer of keys, records, and active stays at contract exit.</w:t>
      </w:r>
    </w:p>
    <w:p>
      <w:pPr/>
      <w:r>
        <w:t>Guide: propcashflow.my/blog/short-term-rental-management-malaysia/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General short-term rentals |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term rental management comparison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